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8" w:rsidRPr="00867CE8" w:rsidRDefault="00867CE8" w:rsidP="00867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E8">
        <w:rPr>
          <w:rFonts w:ascii="Times New Roman" w:hAnsi="Times New Roman" w:cs="Times New Roman"/>
          <w:b/>
          <w:sz w:val="28"/>
          <w:szCs w:val="28"/>
        </w:rPr>
        <w:t>Субсидии для МСП и социально ориентированным</w:t>
      </w:r>
    </w:p>
    <w:p w:rsidR="00867CE8" w:rsidRPr="00867CE8" w:rsidRDefault="00867CE8" w:rsidP="00867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E8">
        <w:rPr>
          <w:rFonts w:ascii="Times New Roman" w:hAnsi="Times New Roman" w:cs="Times New Roman"/>
          <w:b/>
          <w:sz w:val="28"/>
          <w:szCs w:val="28"/>
        </w:rPr>
        <w:t>некоммерческим организациям из</w:t>
      </w:r>
      <w:r w:rsidR="00355469" w:rsidRPr="00867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CE8">
        <w:rPr>
          <w:rFonts w:ascii="Times New Roman" w:hAnsi="Times New Roman" w:cs="Times New Roman"/>
          <w:b/>
          <w:sz w:val="28"/>
          <w:szCs w:val="28"/>
        </w:rPr>
        <w:t>федерального бюджета</w:t>
      </w:r>
    </w:p>
    <w:p w:rsidR="00867CE8" w:rsidRPr="00867CE8" w:rsidRDefault="00867CE8" w:rsidP="00867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E8">
        <w:rPr>
          <w:rFonts w:ascii="Times New Roman" w:hAnsi="Times New Roman" w:cs="Times New Roman"/>
          <w:b/>
          <w:sz w:val="28"/>
          <w:szCs w:val="28"/>
        </w:rPr>
        <w:t>на проведение мероприятий по профилактике новой</w:t>
      </w:r>
    </w:p>
    <w:p w:rsidR="00867CE8" w:rsidRPr="00867CE8" w:rsidRDefault="00867CE8" w:rsidP="00867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CE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7CE8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355469" w:rsidRDefault="0035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208E7" w:rsidRDefault="00355469" w:rsidP="00355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355469" w:rsidRP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 w:rsidRPr="003554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 июля 2020 г.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3554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5469">
        <w:rPr>
          <w:rFonts w:ascii="Times New Roman" w:hAnsi="Times New Roman" w:cs="Times New Roman"/>
          <w:sz w:val="28"/>
          <w:szCs w:val="28"/>
        </w:rPr>
        <w:t xml:space="preserve"> инфекции» утверждены Правила предоставления субсидий на проведение мероприя</w:t>
      </w:r>
      <w:r w:rsidR="00E66141">
        <w:rPr>
          <w:rFonts w:ascii="Times New Roman" w:hAnsi="Times New Roman" w:cs="Times New Roman"/>
          <w:sz w:val="28"/>
          <w:szCs w:val="28"/>
        </w:rPr>
        <w:t xml:space="preserve">тий по профилактике новой </w:t>
      </w:r>
      <w:proofErr w:type="spellStart"/>
      <w:r w:rsidR="00E66141">
        <w:rPr>
          <w:rFonts w:ascii="Times New Roman" w:hAnsi="Times New Roman" w:cs="Times New Roman"/>
          <w:sz w:val="28"/>
          <w:szCs w:val="28"/>
        </w:rPr>
        <w:t>коро</w:t>
      </w:r>
      <w:r w:rsidRPr="00355469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Pr="00355469">
        <w:rPr>
          <w:rFonts w:ascii="Times New Roman" w:hAnsi="Times New Roman" w:cs="Times New Roman"/>
          <w:sz w:val="28"/>
          <w:szCs w:val="28"/>
        </w:rPr>
        <w:t xml:space="preserve"> инфекции  для субъектов малого и среднего предпринимательства (далее – МСП) из пострадавших отраслей, деятельность которых связана с тесным и длительным контактом с клиентами.</w:t>
      </w:r>
    </w:p>
    <w:p w:rsidR="00355469" w:rsidRP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 xml:space="preserve">Одним из условий для включения субъектов МСП в реестр получателей субсидий, является отнесение основного вида экономической деятельности, в которой ведет деятельность субъекта МСП, информация о данной деятельности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 w:rsidRPr="003554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5469">
        <w:rPr>
          <w:rFonts w:ascii="Times New Roman" w:hAnsi="Times New Roman" w:cs="Times New Roman"/>
          <w:sz w:val="28"/>
          <w:szCs w:val="28"/>
        </w:rPr>
        <w:t xml:space="preserve"> инфекции,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законом «Об основах туристской деятельности в Российской Федерации».</w:t>
      </w:r>
    </w:p>
    <w:p w:rsidR="00355469" w:rsidRP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 xml:space="preserve">Субъектам МСП субсидия предоставляется </w:t>
      </w:r>
      <w:proofErr w:type="spellStart"/>
      <w:r w:rsidRPr="00355469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355469">
        <w:rPr>
          <w:rFonts w:ascii="Times New Roman" w:hAnsi="Times New Roman" w:cs="Times New Roman"/>
          <w:sz w:val="28"/>
          <w:szCs w:val="28"/>
        </w:rPr>
        <w:t xml:space="preserve"> на безвозмездной основе в целях частичной компенсации затрат, связанных с проведением в 2020 году мероприятий по профилактике новой </w:t>
      </w:r>
      <w:proofErr w:type="spellStart"/>
      <w:r w:rsidRPr="003554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5469">
        <w:rPr>
          <w:rFonts w:ascii="Times New Roman" w:hAnsi="Times New Roman" w:cs="Times New Roman"/>
          <w:sz w:val="28"/>
          <w:szCs w:val="28"/>
        </w:rPr>
        <w:t xml:space="preserve"> инфекции, в размере </w:t>
      </w:r>
    </w:p>
    <w:p w:rsidR="00355469" w:rsidRP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lastRenderedPageBreak/>
        <w:t>15 тысяч рублей для компаний и индивидуальных предпринимателей, по 6,5 тыс. руб. на каждого работника.</w:t>
      </w:r>
    </w:p>
    <w:p w:rsid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 xml:space="preserve">Подать заявку на получение субсидии можно на официальном сайте Федеральной налоговой службы России по Пермскому краю или через почтовое отправление с 15 июля по 15 августа 2020 года. </w:t>
      </w:r>
    </w:p>
    <w:p w:rsidR="00355469" w:rsidRPr="00355469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горячей линии ФНС: +7 (800) 222-22-22 и на сайте ФНС: nalog.ru</w:t>
      </w:r>
      <w:bookmarkStart w:id="0" w:name="_GoBack"/>
      <w:bookmarkEnd w:id="0"/>
      <w:r w:rsidRPr="00355469">
        <w:rPr>
          <w:rFonts w:ascii="Times New Roman" w:hAnsi="Times New Roman" w:cs="Times New Roman"/>
          <w:sz w:val="28"/>
          <w:szCs w:val="28"/>
        </w:rPr>
        <w:t>.</w:t>
      </w:r>
    </w:p>
    <w:p w:rsidR="008F5402" w:rsidRDefault="00355469" w:rsidP="0035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55469">
        <w:rPr>
          <w:rFonts w:ascii="Times New Roman" w:hAnsi="Times New Roman" w:cs="Times New Roman"/>
          <w:sz w:val="28"/>
          <w:szCs w:val="28"/>
        </w:rPr>
        <w:t xml:space="preserve">Дополнительная информация об условиях и порядке получения субсидии доступна по ссылке: </w:t>
      </w:r>
      <w:hyperlink r:id="rId4" w:history="1">
        <w:r w:rsidR="00867CE8" w:rsidRPr="006004CC">
          <w:rPr>
            <w:rStyle w:val="a3"/>
            <w:rFonts w:ascii="Times New Roman" w:hAnsi="Times New Roman" w:cs="Times New Roman"/>
            <w:sz w:val="28"/>
            <w:szCs w:val="28"/>
          </w:rPr>
          <w:t>https://www.nalog.ru/rn77/business-support-2020/subsidy/</w:t>
        </w:r>
      </w:hyperlink>
      <w:r w:rsidRPr="00355469">
        <w:rPr>
          <w:rFonts w:ascii="Times New Roman" w:hAnsi="Times New Roman" w:cs="Times New Roman"/>
          <w:sz w:val="28"/>
          <w:szCs w:val="28"/>
        </w:rPr>
        <w:t>.</w:t>
      </w:r>
    </w:p>
    <w:p w:rsidR="00867CE8" w:rsidRDefault="00867CE8" w:rsidP="00867CE8">
      <w:pPr>
        <w:spacing w:after="120" w:line="240" w:lineRule="exact"/>
        <w:ind w:firstLine="552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7CE8" w:rsidRPr="007D1F6D" w:rsidRDefault="00867CE8" w:rsidP="0086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D1F6D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отраслей российской экономики, требующих поддержки для проведения мероприятий по профилактике новой </w:t>
      </w:r>
      <w:proofErr w:type="spellStart"/>
      <w:r w:rsidRPr="007D1F6D">
        <w:rPr>
          <w:rFonts w:ascii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7D1F6D">
        <w:rPr>
          <w:rFonts w:ascii="Times New Roman" w:hAnsi="Times New Roman"/>
          <w:bCs/>
          <w:sz w:val="28"/>
          <w:szCs w:val="28"/>
          <w:lang w:eastAsia="ru-RU"/>
        </w:rPr>
        <w:t xml:space="preserve"> инфекции</w:t>
      </w:r>
    </w:p>
    <w:p w:rsidR="00867CE8" w:rsidRPr="007D1F6D" w:rsidRDefault="00867CE8" w:rsidP="00867C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6"/>
        <w:gridCol w:w="2268"/>
      </w:tblGrid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Код ОКВЭД 2</w:t>
            </w:r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93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96.04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86.90.4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55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56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95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96.01</w:t>
            </w:r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96.02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85.41</w:t>
              </w:r>
            </w:hyperlink>
          </w:p>
        </w:tc>
      </w:tr>
      <w:tr w:rsidR="00867CE8" w:rsidRPr="007D1F6D" w:rsidTr="00E837A1">
        <w:tc>
          <w:tcPr>
            <w:tcW w:w="7366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1F6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268" w:type="dxa"/>
          </w:tcPr>
          <w:p w:rsidR="00867CE8" w:rsidRPr="007D1F6D" w:rsidRDefault="00867CE8" w:rsidP="00E8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7D1F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88.91</w:t>
              </w:r>
            </w:hyperlink>
          </w:p>
        </w:tc>
      </w:tr>
    </w:tbl>
    <w:p w:rsidR="00867CE8" w:rsidRPr="00F55607" w:rsidRDefault="00867CE8" w:rsidP="00355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CE8" w:rsidRPr="00F5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F"/>
    <w:rsid w:val="00001F20"/>
    <w:rsid w:val="00355469"/>
    <w:rsid w:val="0057155D"/>
    <w:rsid w:val="006632DF"/>
    <w:rsid w:val="00684C3F"/>
    <w:rsid w:val="00811EFF"/>
    <w:rsid w:val="00867CE8"/>
    <w:rsid w:val="00872580"/>
    <w:rsid w:val="008E014F"/>
    <w:rsid w:val="008F5402"/>
    <w:rsid w:val="00AC64D3"/>
    <w:rsid w:val="00C208E7"/>
    <w:rsid w:val="00C67B4A"/>
    <w:rsid w:val="00E66141"/>
    <w:rsid w:val="00E71AE7"/>
    <w:rsid w:val="00F23A0B"/>
    <w:rsid w:val="00F55607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0B7"/>
  <w15:docId w15:val="{DE73EF1E-F54C-4288-8242-FD32C29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6BE13B52DD3BCD1341318F58EA3FFFF6319A1A92BCB9291733CCB1D87A32C735C4BAF2ACA1E8B284CMAJ" TargetMode="External"/><Relationship Id="rId13" Type="http://schemas.openxmlformats.org/officeDocument/2006/relationships/hyperlink" Target="consultantplus://offline/ref=6A256BA5561BA139A3E70A618DA92958A6BE13B52DD3BCD1341318F58EA3FFFF6319A1A92BCA9592733CCB1D87A32C735C4BAF2ACA1E8B284CM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6BA5561BA139A3E70A618DA92958A6BE13B52DD3BCD1341318F58EA3FFFF6319A1A92BCA9591713CCB1D87A32C735C4BAF2ACA1E8B284CMAJ" TargetMode="External"/><Relationship Id="rId12" Type="http://schemas.openxmlformats.org/officeDocument/2006/relationships/hyperlink" Target="consultantplus://offline/ref=6A256BA5561BA139A3E70A618DA92958A6BE13B52DD3BCD1341318F58EA3FFFF6319A1A92BCA9297753CCB1D87A32C735C4BAF2ACA1E8B284CM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6BA5561BA139A3E70A618DA92958A6BE13B52DD3BCD1341318F58EA3FFFF6319A1A92BCA9996753CCB1D87A32C735C4BAF2ACA1E8B284CMAJ" TargetMode="External"/><Relationship Id="rId11" Type="http://schemas.openxmlformats.org/officeDocument/2006/relationships/hyperlink" Target="consultantplus://offline/ref=6A256BA5561BA139A3E70A618DA92958A6BE13B52DD3BCD1341318F58EA3FFFF6319A1A92BCA94987D3CCB1D87A32C735C4BAF2ACA1E8B284CMAJ" TargetMode="External"/><Relationship Id="rId5" Type="http://schemas.openxmlformats.org/officeDocument/2006/relationships/hyperlink" Target="consultantplus://offline/ref=6A256BA5561BA139A3E70A618DA92958A6BE13B52DD3BCD1341318F58EA3FFFF6319A1A92BCA9491733CCB1D87A32C735C4BAF2ACA1E8B284CM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256BA5561BA139A3E70A618DA92958A6BE13B52DD3BCD1341318F58EA3FFFF6319A1A92BCA9494713CCB1D87A32C735C4BAF2ACA1E8B284CMAJ" TargetMode="External"/><Relationship Id="rId4" Type="http://schemas.openxmlformats.org/officeDocument/2006/relationships/hyperlink" Target="https://www.nalog.ru/rn77/business-support-2020/subsidy/" TargetMode="External"/><Relationship Id="rId9" Type="http://schemas.openxmlformats.org/officeDocument/2006/relationships/hyperlink" Target="consultantplus://offline/ref=6A256BA5561BA139A3E70A618DA92958A6BE13B52DD3BCD1341318F58EA3FFFF6319A1A92BCB9293723CCB1D87A32C735C4BAF2ACA1E8B284CM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2020-08-06T03:56:00Z</cp:lastPrinted>
  <dcterms:created xsi:type="dcterms:W3CDTF">2020-08-03T04:04:00Z</dcterms:created>
  <dcterms:modified xsi:type="dcterms:W3CDTF">2020-08-06T03:57:00Z</dcterms:modified>
</cp:coreProperties>
</file>